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34 vom 13. Oktober 2015</w:t>
      </w:r>
    </w:p>
    <w:p>
      <w:r>
        <w:t>GR Gerichte, 2015-10-13, IT</w:t>
      </w:r>
    </w:p>
    <w:p>
      <w:r>
        <w:rPr>
          <w:b/>
        </w:rPr>
        <w:t xml:space="preserve">Quelle: </w:t>
      </w:r>
      <w:r>
        <w:t>https://mcp.opencaselaw.ch/entscheid/gr_gerichte_SK2 2015 34</w:t>
      </w:r>
    </w:p>
    <w:p>
      <w:r>
        <w:t>FR: GR_GERICHTE SK2 2015 34 du 13 octobre 2015</w:t>
      </w:r>
    </w:p>
    <w:p>
      <w:r>
        <w:t>IT: GR_GERICHTE SK2 2015 34 del 13 ottobre 2015</w:t>
      </w:r>
    </w:p>
    <w:p>
      <w:pPr>
        <w:pStyle w:val="Heading2"/>
      </w:pPr>
      <w:r>
        <w:t>Regeste</w:t>
      </w:r>
    </w:p>
    <w:p>
      <w:r>
        <w:t>domanda d'esame degli atti</w:t>
      </w:r>
    </w:p>
    <w:p>
      <w:pPr>
        <w:pStyle w:val="Heading2"/>
      </w:pPr>
      <w:r>
        <w:t>Erwägungen</w:t>
      </w:r>
    </w:p>
    <w:p>
      <w:r>
        <w:rPr>
          <w:b/>
        </w:rPr>
        <w:t>E. 3</w:t>
      </w:r>
    </w:p>
    <w:p>
      <w:r>
        <w:t>Non sono riconosciute spese ripetibili.</w:t>
      </w:r>
    </w:p>
    <w:p>
      <w:r>
        <w:rPr>
          <w:b/>
        </w:rPr>
        <w:t>E. 4</w:t>
      </w:r>
    </w:p>
    <w:p>
      <w:r>
        <w:t>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